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黑体"/>
          <w:b/>
          <w:sz w:val="32"/>
          <w:szCs w:val="28"/>
          <w:lang w:val="zh-CN"/>
        </w:rPr>
      </w:pPr>
      <w:r>
        <w:rPr>
          <w:rFonts w:hint="eastAsia" w:ascii="黑体" w:eastAsia="黑体" w:cs="黑体"/>
          <w:b/>
          <w:sz w:val="32"/>
          <w:szCs w:val="28"/>
          <w:lang w:val="zh-CN" w:eastAsia="zh-CN"/>
        </w:rPr>
        <w:t>农业经济管理学科博士研究生培养方案</w:t>
      </w:r>
    </w:p>
    <w:p>
      <w:pPr>
        <w:jc w:val="center"/>
        <w:rPr>
          <w:rFonts w:ascii="黑体" w:eastAsia="黑体" w:cs="黑体"/>
          <w:sz w:val="28"/>
          <w:szCs w:val="28"/>
          <w:lang w:val="zh-CN" w:eastAsia="zh-CN"/>
        </w:rPr>
      </w:pPr>
      <w:r>
        <w:rPr>
          <w:rFonts w:hint="eastAsia" w:ascii="宋体" w:hAnsi="宋体"/>
          <w:b/>
          <w:sz w:val="28"/>
          <w:szCs w:val="28"/>
          <w:lang w:val="zh-CN" w:eastAsia="zh-CN"/>
        </w:rPr>
        <w:t>学科代码：</w:t>
      </w:r>
      <w:r>
        <w:rPr>
          <w:b/>
          <w:sz w:val="28"/>
          <w:szCs w:val="28"/>
          <w:lang w:val="zh-CN" w:eastAsia="zh-CN"/>
        </w:rPr>
        <w:t xml:space="preserve">120301 </w:t>
      </w:r>
      <w:r>
        <w:rPr>
          <w:rFonts w:hint="eastAsia" w:ascii="宋体" w:hAnsi="宋体"/>
          <w:b/>
          <w:sz w:val="28"/>
          <w:szCs w:val="28"/>
          <w:lang w:val="zh-CN" w:eastAsia="zh-CN"/>
        </w:rPr>
        <w:t xml:space="preserve">   学科级别： 二级</w:t>
      </w:r>
    </w:p>
    <w:p>
      <w:pPr>
        <w:spacing w:line="360" w:lineRule="auto"/>
        <w:ind w:firstLine="480" w:firstLineChars="200"/>
        <w:outlineLvl w:val="0"/>
        <w:rPr>
          <w:rFonts w:ascii="黑体" w:hAnsi="宋体" w:eastAsia="黑体"/>
          <w:sz w:val="24"/>
          <w:szCs w:val="28"/>
        </w:rPr>
      </w:pPr>
      <w:r>
        <w:rPr>
          <w:rFonts w:hint="eastAsia" w:ascii="黑体" w:hAnsi="宋体" w:eastAsia="黑体"/>
          <w:sz w:val="24"/>
          <w:szCs w:val="28"/>
        </w:rPr>
        <w:t>一、学科简介</w:t>
      </w:r>
    </w:p>
    <w:p>
      <w:pPr>
        <w:spacing w:line="360" w:lineRule="auto"/>
        <w:ind w:firstLine="420" w:firstLineChars="200"/>
        <w:rPr>
          <w:rFonts w:ascii="宋体" w:hAnsi="宋体"/>
        </w:rPr>
      </w:pPr>
      <w:r>
        <w:rPr>
          <w:rFonts w:hint="eastAsia" w:ascii="宋体" w:hAnsi="宋体"/>
        </w:rPr>
        <w:t>农业经济管理是以农业经济学和管理学为基础的管理类学科，在研究发展中与社会学、法学、人口学和有关自然科学相互交叉与融合。该学科以“三农”问题作为基本研究对象，紧紧围绕农民、农业和农村发展中出现的重点、热点和难点问题开展理论研究和应用研究。</w:t>
      </w:r>
    </w:p>
    <w:p>
      <w:pPr>
        <w:spacing w:line="360" w:lineRule="auto"/>
        <w:ind w:firstLine="420" w:firstLineChars="200"/>
        <w:rPr>
          <w:rFonts w:ascii="宋体" w:hAnsi="宋体"/>
        </w:rPr>
      </w:pPr>
      <w:r>
        <w:rPr>
          <w:rFonts w:hint="eastAsia" w:ascii="宋体" w:hAnsi="宋体"/>
        </w:rPr>
        <w:t>河南农业大学</w:t>
      </w:r>
      <w:r>
        <w:t>1980</w:t>
      </w:r>
      <w:r>
        <w:rPr>
          <w:rFonts w:hint="eastAsia" w:ascii="宋体" w:hAnsi="宋体"/>
        </w:rPr>
        <w:t>年成立农业经济教研室，</w:t>
      </w:r>
      <w:r>
        <w:rPr>
          <w:rFonts w:hint="eastAsia"/>
        </w:rPr>
        <w:t>1981年招收农业经济管理本科生，1991年招收农业经济管理硕士研究生，2007年招收农业经济管理专业博士研究生，2008年农林经济管理被评为省级特色专业、农林经济管理学科被评为省级重点一级学科，2009年设立农林经济管理</w:t>
      </w:r>
      <w:r>
        <w:rPr>
          <w:rFonts w:hint="eastAsia" w:ascii="宋体" w:hAnsi="宋体"/>
        </w:rPr>
        <w:t>博士后科研流动站。</w:t>
      </w:r>
    </w:p>
    <w:p>
      <w:pPr>
        <w:spacing w:line="360" w:lineRule="auto"/>
        <w:ind w:firstLine="480" w:firstLineChars="200"/>
        <w:outlineLvl w:val="0"/>
        <w:rPr>
          <w:rFonts w:ascii="黑体" w:hAnsi="宋体" w:eastAsia="黑体"/>
          <w:sz w:val="24"/>
          <w:szCs w:val="28"/>
        </w:rPr>
      </w:pPr>
      <w:r>
        <w:rPr>
          <w:rFonts w:hint="eastAsia" w:ascii="黑体" w:hAnsi="宋体" w:eastAsia="黑体"/>
          <w:sz w:val="24"/>
          <w:szCs w:val="28"/>
        </w:rPr>
        <w:t>二、培养目标</w:t>
      </w:r>
    </w:p>
    <w:p>
      <w:pPr>
        <w:spacing w:line="360" w:lineRule="auto"/>
        <w:ind w:firstLine="420" w:firstLineChars="200"/>
        <w:rPr>
          <w:rFonts w:ascii="宋体" w:hAnsi="宋体"/>
        </w:rPr>
      </w:pPr>
      <w:r>
        <w:rPr>
          <w:rFonts w:hint="eastAsia" w:ascii="宋体" w:hAnsi="宋体"/>
        </w:rPr>
        <w:t>培养适应社会主义现代化经济建设和社会发展需要的德、智、体全面发展的农业经济管理学科高级专门人才。具体要求如下：</w:t>
      </w:r>
    </w:p>
    <w:p>
      <w:pPr>
        <w:spacing w:line="360" w:lineRule="auto"/>
        <w:ind w:firstLine="420" w:firstLineChars="200"/>
        <w:rPr>
          <w:rFonts w:ascii="宋体" w:hAnsi="宋体"/>
        </w:rPr>
      </w:pPr>
      <w:r>
        <w:rPr>
          <w:rFonts w:ascii="宋体" w:hAnsi="宋体"/>
        </w:rPr>
        <w:t>1</w:t>
      </w:r>
      <w:r>
        <w:rPr>
          <w:rFonts w:hint="eastAsia" w:ascii="宋体" w:hAnsi="宋体"/>
        </w:rPr>
        <w:t>、掌握马克思主义基本理论，热爱祖国，遵纪守法，具有高尚的科学道德和科学诚信品质，具有追求真理和献身科学事业的创新精神；</w:t>
      </w:r>
    </w:p>
    <w:p>
      <w:pPr>
        <w:spacing w:line="360" w:lineRule="auto"/>
        <w:ind w:firstLine="420" w:firstLineChars="200"/>
        <w:rPr>
          <w:rFonts w:ascii="宋体" w:hAnsi="宋体"/>
        </w:rPr>
      </w:pPr>
      <w:r>
        <w:rPr>
          <w:rFonts w:hint="eastAsia" w:ascii="宋体" w:hAnsi="宋体"/>
        </w:rPr>
        <w:t>2、掌握本学科坚实宽广的基础理论和系统深入的专门知识；能综合运用经济学和管理学的基本原理与方法，揭示农业经济发展中的科学规律；</w:t>
      </w:r>
    </w:p>
    <w:p>
      <w:pPr>
        <w:spacing w:line="360" w:lineRule="auto"/>
        <w:ind w:firstLine="420" w:firstLineChars="200"/>
        <w:rPr>
          <w:rFonts w:ascii="宋体" w:hAnsi="宋体"/>
        </w:rPr>
      </w:pPr>
      <w:r>
        <w:rPr>
          <w:rFonts w:hint="eastAsia" w:ascii="宋体" w:hAnsi="宋体"/>
        </w:rPr>
        <w:t>3、熟悉本专业范围内学科发展的现状和发展动态，具有独立从事高水平科学研究的能力及与生产实践相结合的研究能力，能够在科学研究或手段方法方面做出创新性的研究成果；</w:t>
      </w:r>
    </w:p>
    <w:p>
      <w:pPr>
        <w:spacing w:line="360" w:lineRule="auto"/>
        <w:ind w:firstLine="420" w:firstLineChars="200"/>
        <w:rPr>
          <w:rFonts w:ascii="宋体" w:hAnsi="宋体"/>
        </w:rPr>
      </w:pPr>
      <w:r>
        <w:rPr>
          <w:rFonts w:hint="eastAsia" w:ascii="宋体" w:hAnsi="宋体"/>
        </w:rPr>
        <w:t>4、至少掌握一门外国语，能熟练阅读本专业外文资料，具有较强听说读写和进行国际学术交流的能力；</w:t>
      </w:r>
    </w:p>
    <w:p>
      <w:pPr>
        <w:spacing w:line="360" w:lineRule="auto"/>
        <w:ind w:firstLine="420" w:firstLineChars="200"/>
        <w:rPr>
          <w:rFonts w:ascii="宋体" w:hAnsi="宋体"/>
        </w:rPr>
      </w:pPr>
      <w:r>
        <w:rPr>
          <w:rFonts w:hint="eastAsia" w:ascii="宋体" w:hAnsi="宋体"/>
        </w:rPr>
        <w:t>5、身心健康。</w:t>
      </w:r>
    </w:p>
    <w:p>
      <w:pPr>
        <w:spacing w:line="360" w:lineRule="auto"/>
        <w:ind w:firstLine="480" w:firstLineChars="200"/>
        <w:outlineLvl w:val="0"/>
        <w:rPr>
          <w:rFonts w:ascii="黑体" w:hAnsi="宋体" w:eastAsia="黑体"/>
          <w:sz w:val="24"/>
          <w:szCs w:val="28"/>
        </w:rPr>
      </w:pPr>
      <w:r>
        <w:rPr>
          <w:rFonts w:hint="eastAsia" w:ascii="黑体" w:hAnsi="宋体" w:eastAsia="黑体"/>
          <w:sz w:val="24"/>
          <w:szCs w:val="28"/>
        </w:rPr>
        <w:t>三、主要研究方向</w:t>
      </w:r>
    </w:p>
    <w:p>
      <w:pPr>
        <w:spacing w:line="360" w:lineRule="auto"/>
        <w:ind w:firstLine="420" w:firstLineChars="200"/>
        <w:rPr>
          <w:rFonts w:ascii="宋体" w:hAnsi="宋体"/>
        </w:rPr>
      </w:pPr>
      <w:r>
        <w:t>1</w:t>
      </w:r>
      <w:r>
        <w:rPr>
          <w:rFonts w:hint="eastAsia" w:ascii="宋体" w:hAnsi="宋体"/>
        </w:rPr>
        <w:t>、农业经济理论与政策</w:t>
      </w:r>
    </w:p>
    <w:p>
      <w:pPr>
        <w:spacing w:line="360" w:lineRule="auto"/>
        <w:ind w:firstLine="420" w:firstLineChars="200"/>
        <w:rPr>
          <w:rFonts w:ascii="宋体" w:hAnsi="宋体"/>
        </w:rPr>
      </w:pPr>
      <w:r>
        <w:t>2</w:t>
      </w:r>
      <w:r>
        <w:rPr>
          <w:rFonts w:hint="eastAsia" w:ascii="宋体" w:hAnsi="宋体"/>
        </w:rPr>
        <w:t>、农村与区域发展</w:t>
      </w:r>
    </w:p>
    <w:p>
      <w:pPr>
        <w:spacing w:line="360" w:lineRule="auto"/>
        <w:ind w:firstLine="420" w:firstLineChars="200"/>
        <w:rPr>
          <w:rFonts w:ascii="宋体" w:hAnsi="宋体"/>
        </w:rPr>
      </w:pPr>
      <w:r>
        <w:rPr>
          <w:rFonts w:hint="eastAsia"/>
        </w:rPr>
        <w:t>3</w:t>
      </w:r>
      <w:r>
        <w:rPr>
          <w:rFonts w:hint="eastAsia" w:ascii="宋体" w:hAnsi="宋体"/>
        </w:rPr>
        <w:t>、农业技术创新与管理</w:t>
      </w:r>
    </w:p>
    <w:p>
      <w:pPr>
        <w:spacing w:line="360" w:lineRule="auto"/>
        <w:ind w:firstLine="420" w:firstLineChars="200"/>
        <w:rPr>
          <w:rFonts w:ascii="宋体" w:hAnsi="宋体"/>
        </w:rPr>
      </w:pPr>
      <w:r>
        <w:rPr>
          <w:rFonts w:hint="eastAsia"/>
        </w:rPr>
        <w:t>4</w:t>
      </w:r>
      <w:r>
        <w:rPr>
          <w:rFonts w:hint="eastAsia" w:ascii="宋体" w:hAnsi="宋体"/>
        </w:rPr>
        <w:t>、粮食安全与农产品国际贸易</w:t>
      </w:r>
    </w:p>
    <w:p>
      <w:pPr>
        <w:spacing w:line="360" w:lineRule="auto"/>
        <w:ind w:firstLine="482" w:firstLineChars="200"/>
        <w:rPr>
          <w:rFonts w:ascii="宋体" w:hAnsi="宋体" w:cs="黑体"/>
          <w:b/>
          <w:kern w:val="0"/>
          <w:sz w:val="24"/>
          <w:szCs w:val="28"/>
          <w:lang w:val="zh-CN" w:eastAsia="zh-CN"/>
        </w:rPr>
      </w:pPr>
      <w:r>
        <w:rPr>
          <w:rFonts w:hint="eastAsia" w:ascii="宋体" w:hAnsi="宋体" w:cs="黑体"/>
          <w:b/>
          <w:kern w:val="0"/>
          <w:sz w:val="24"/>
          <w:szCs w:val="28"/>
          <w:lang w:val="zh-CN" w:eastAsia="zh-CN"/>
        </w:rPr>
        <w:t>四、学制、学分与培养方式</w:t>
      </w:r>
    </w:p>
    <w:p>
      <w:pPr>
        <w:spacing w:line="360" w:lineRule="auto"/>
        <w:ind w:firstLine="420" w:firstLineChars="200"/>
        <w:rPr>
          <w:rFonts w:ascii="宋体" w:hAnsi="宋体"/>
        </w:rPr>
      </w:pPr>
      <w:r>
        <w:rPr>
          <w:rFonts w:hint="eastAsia" w:ascii="宋体" w:hAnsi="宋体"/>
        </w:rPr>
        <w:t>博士研究生申请学位最低学分为17学分，其中课程学习12学分，开题报告1学分，社会调查2学分，学术报告2学分。</w:t>
      </w:r>
    </w:p>
    <w:p>
      <w:pPr>
        <w:spacing w:line="360" w:lineRule="auto"/>
        <w:ind w:firstLine="420" w:firstLineChars="200"/>
        <w:rPr>
          <w:rFonts w:ascii="宋体" w:hAnsi="宋体"/>
        </w:rPr>
      </w:pPr>
      <w:r>
        <w:rPr>
          <w:rFonts w:hint="eastAsia" w:ascii="宋体"/>
          <w:kern w:val="0"/>
          <w:szCs w:val="20"/>
        </w:rPr>
        <w:t>学制与培养方式按照《河南农业大学关于修订全日制学术学位研究生培养方案的指导意见》中的有关规定执行。</w:t>
      </w:r>
    </w:p>
    <w:p>
      <w:pPr>
        <w:spacing w:line="360" w:lineRule="auto"/>
        <w:ind w:firstLine="482" w:firstLineChars="200"/>
        <w:rPr>
          <w:rFonts w:ascii="宋体" w:hAnsi="宋体"/>
          <w:b/>
          <w:sz w:val="24"/>
          <w:szCs w:val="28"/>
        </w:rPr>
      </w:pPr>
      <w:r>
        <w:rPr>
          <w:rFonts w:hint="eastAsia" w:ascii="宋体" w:hAnsi="宋体"/>
          <w:b/>
          <w:sz w:val="24"/>
          <w:szCs w:val="28"/>
        </w:rPr>
        <w:t>五、课程设置与学分要求</w:t>
      </w:r>
    </w:p>
    <w:p>
      <w:pPr>
        <w:spacing w:line="360" w:lineRule="auto"/>
        <w:ind w:firstLine="420" w:firstLineChars="200"/>
        <w:rPr>
          <w:rFonts w:ascii="宋体" w:hAnsi="宋体"/>
          <w:kern w:val="0"/>
          <w:szCs w:val="20"/>
        </w:rPr>
      </w:pPr>
      <w:r>
        <w:rPr>
          <w:rFonts w:hint="eastAsia" w:ascii="宋体" w:hAnsi="宋体"/>
          <w:kern w:val="0"/>
          <w:szCs w:val="20"/>
        </w:rPr>
        <w:t>见下页附表。</w:t>
      </w:r>
    </w:p>
    <w:p>
      <w:pPr>
        <w:spacing w:line="360" w:lineRule="auto"/>
        <w:ind w:firstLine="480" w:firstLineChars="200"/>
        <w:rPr>
          <w:rFonts w:ascii="黑体" w:hAnsi="宋体" w:eastAsia="黑体"/>
          <w:sz w:val="24"/>
          <w:szCs w:val="28"/>
        </w:rPr>
      </w:pPr>
      <w:r>
        <w:rPr>
          <w:rFonts w:hint="eastAsia" w:ascii="黑体" w:hAnsi="宋体" w:eastAsia="黑体"/>
          <w:sz w:val="24"/>
          <w:szCs w:val="28"/>
        </w:rPr>
        <w:t>六、必修环节及要求</w:t>
      </w:r>
    </w:p>
    <w:p>
      <w:pPr>
        <w:spacing w:line="480" w:lineRule="auto"/>
        <w:ind w:firstLine="420" w:firstLineChars="200"/>
        <w:jc w:val="left"/>
        <w:rPr>
          <w:rFonts w:ascii="宋体" w:hAnsi="宋体"/>
          <w:bCs/>
          <w:color w:val="000000"/>
          <w:sz w:val="20"/>
          <w:szCs w:val="21"/>
        </w:rPr>
      </w:pPr>
      <w:r>
        <w:rPr>
          <w:rFonts w:hint="eastAsia" w:ascii="宋体" w:hAnsi="宋体"/>
          <w:szCs w:val="21"/>
        </w:rPr>
        <w:t>博士研究生培养包括制订培养计划、课程学习、学术报告、论文工作、中期考核、论文的审查与答辩、毕业与学位申请等必修环节，按照《河南农业大学关于修订全日制学术学位研究生培养方案的指导意见》和</w:t>
      </w:r>
      <w:r>
        <w:rPr>
          <w:rFonts w:ascii="宋体" w:hAnsi="宋体"/>
          <w:szCs w:val="21"/>
        </w:rPr>
        <w:t>《河南农业大学学位授予工作实施细则》</w:t>
      </w:r>
      <w:r>
        <w:rPr>
          <w:rFonts w:hint="eastAsia" w:ascii="宋体" w:hAnsi="宋体"/>
          <w:szCs w:val="21"/>
        </w:rPr>
        <w:t>（校政研[</w:t>
      </w:r>
      <w:r>
        <w:rPr>
          <w:rFonts w:ascii="宋体" w:hAnsi="宋体"/>
          <w:szCs w:val="21"/>
        </w:rPr>
        <w:t>2006</w:t>
      </w:r>
      <w:r>
        <w:rPr>
          <w:rFonts w:hint="eastAsia" w:ascii="宋体" w:hAnsi="宋体"/>
          <w:szCs w:val="21"/>
        </w:rPr>
        <w:t>]7号）中的有关规定执行。</w:t>
      </w:r>
      <w:r>
        <w:rPr>
          <w:rFonts w:hAnsi="宋体"/>
        </w:rPr>
        <w:br w:type="page"/>
      </w:r>
      <w:r>
        <w:rPr>
          <w:rFonts w:hint="eastAsia" w:ascii="黑体" w:hAnsi="宋体" w:eastAsia="黑体"/>
          <w:color w:val="000000"/>
          <w:sz w:val="24"/>
          <w:szCs w:val="28"/>
        </w:rPr>
        <w:t>附表   课程设置与学分要求</w:t>
      </w:r>
    </w:p>
    <w:p>
      <w:pPr>
        <w:adjustRightInd w:val="0"/>
        <w:snapToGrid w:val="0"/>
        <w:spacing w:before="156" w:beforeLines="50" w:line="360" w:lineRule="auto"/>
        <w:jc w:val="center"/>
        <w:rPr>
          <w:rFonts w:ascii="宋体" w:hAnsi="宋体"/>
          <w:bCs/>
        </w:rPr>
      </w:pPr>
      <w:r>
        <w:rPr>
          <w:rFonts w:hint="eastAsia" w:ascii="宋体" w:hAnsi="宋体"/>
          <w:bCs/>
        </w:rPr>
        <w:t>学科代码：</w:t>
      </w:r>
      <w:r>
        <w:rPr>
          <w:rFonts w:hint="eastAsia"/>
          <w:bCs/>
        </w:rPr>
        <w:t>120301</w:t>
      </w:r>
      <w:r>
        <w:rPr>
          <w:rFonts w:hint="eastAsia" w:ascii="宋体" w:hAnsi="宋体"/>
          <w:bCs/>
        </w:rPr>
        <w:t xml:space="preserve">                 学科名称：农业经济管理</w:t>
      </w:r>
    </w:p>
    <w:tbl>
      <w:tblPr>
        <w:tblStyle w:val="2"/>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72"/>
        <w:gridCol w:w="3239"/>
        <w:gridCol w:w="765"/>
        <w:gridCol w:w="765"/>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shd w:val="clear" w:color="auto" w:fill="auto"/>
            <w:vAlign w:val="center"/>
          </w:tcPr>
          <w:p>
            <w:pPr>
              <w:spacing w:line="360" w:lineRule="auto"/>
              <w:jc w:val="center"/>
              <w:rPr>
                <w:b/>
                <w:szCs w:val="21"/>
              </w:rPr>
            </w:pPr>
            <w:r>
              <w:rPr>
                <w:rFonts w:hint="eastAsia"/>
                <w:b/>
                <w:szCs w:val="21"/>
              </w:rPr>
              <w:t>类别</w:t>
            </w:r>
          </w:p>
        </w:tc>
        <w:tc>
          <w:tcPr>
            <w:tcW w:w="1418" w:type="dxa"/>
            <w:shd w:val="clear" w:color="auto" w:fill="auto"/>
            <w:vAlign w:val="center"/>
          </w:tcPr>
          <w:p>
            <w:pPr>
              <w:spacing w:line="360" w:lineRule="auto"/>
              <w:jc w:val="center"/>
              <w:rPr>
                <w:b/>
                <w:szCs w:val="21"/>
              </w:rPr>
            </w:pPr>
            <w:r>
              <w:rPr>
                <w:rFonts w:hint="eastAsia"/>
                <w:b/>
                <w:szCs w:val="21"/>
              </w:rPr>
              <w:t>课程编号</w:t>
            </w:r>
          </w:p>
        </w:tc>
        <w:tc>
          <w:tcPr>
            <w:tcW w:w="3119" w:type="dxa"/>
            <w:shd w:val="clear" w:color="auto" w:fill="auto"/>
            <w:vAlign w:val="center"/>
          </w:tcPr>
          <w:p>
            <w:pPr>
              <w:spacing w:line="360" w:lineRule="auto"/>
              <w:jc w:val="center"/>
              <w:rPr>
                <w:b/>
                <w:szCs w:val="21"/>
              </w:rPr>
            </w:pPr>
            <w:r>
              <w:rPr>
                <w:rFonts w:hint="eastAsia"/>
                <w:b/>
                <w:szCs w:val="21"/>
              </w:rPr>
              <w:t>课程名称</w:t>
            </w:r>
          </w:p>
        </w:tc>
        <w:tc>
          <w:tcPr>
            <w:tcW w:w="737" w:type="dxa"/>
            <w:shd w:val="clear" w:color="auto" w:fill="auto"/>
            <w:vAlign w:val="center"/>
          </w:tcPr>
          <w:p>
            <w:pPr>
              <w:spacing w:line="360" w:lineRule="auto"/>
              <w:jc w:val="center"/>
              <w:rPr>
                <w:b/>
                <w:szCs w:val="21"/>
              </w:rPr>
            </w:pPr>
            <w:r>
              <w:rPr>
                <w:rFonts w:hint="eastAsia"/>
                <w:b/>
                <w:szCs w:val="21"/>
              </w:rPr>
              <w:t>学分</w:t>
            </w:r>
          </w:p>
        </w:tc>
        <w:tc>
          <w:tcPr>
            <w:tcW w:w="737" w:type="dxa"/>
            <w:shd w:val="clear" w:color="auto" w:fill="auto"/>
            <w:vAlign w:val="center"/>
          </w:tcPr>
          <w:p>
            <w:pPr>
              <w:spacing w:line="360" w:lineRule="auto"/>
              <w:jc w:val="center"/>
              <w:rPr>
                <w:b/>
                <w:szCs w:val="21"/>
              </w:rPr>
            </w:pPr>
            <w:r>
              <w:rPr>
                <w:rFonts w:hint="eastAsia"/>
                <w:b/>
                <w:szCs w:val="21"/>
              </w:rPr>
              <w:t>学时</w:t>
            </w:r>
          </w:p>
        </w:tc>
        <w:tc>
          <w:tcPr>
            <w:tcW w:w="2155" w:type="dxa"/>
            <w:shd w:val="clear" w:color="auto" w:fill="auto"/>
            <w:vAlign w:val="center"/>
          </w:tcPr>
          <w:p>
            <w:pPr>
              <w:spacing w:line="360" w:lineRule="auto"/>
              <w:jc w:val="center"/>
              <w:rPr>
                <w:b/>
                <w:szCs w:val="21"/>
              </w:rPr>
            </w:pPr>
            <w:r>
              <w:rPr>
                <w:rFonts w:hint="eastAsia"/>
                <w:b/>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restart"/>
            <w:shd w:val="clear" w:color="auto" w:fill="auto"/>
            <w:vAlign w:val="center"/>
          </w:tcPr>
          <w:p>
            <w:pPr>
              <w:spacing w:line="360" w:lineRule="auto"/>
              <w:jc w:val="center"/>
              <w:rPr>
                <w:szCs w:val="21"/>
              </w:rPr>
            </w:pPr>
            <w:r>
              <w:rPr>
                <w:rFonts w:hint="eastAsia"/>
                <w:szCs w:val="21"/>
              </w:rPr>
              <w:t>学</w:t>
            </w:r>
          </w:p>
          <w:p>
            <w:pPr>
              <w:spacing w:line="360" w:lineRule="auto"/>
              <w:jc w:val="center"/>
              <w:rPr>
                <w:szCs w:val="21"/>
              </w:rPr>
            </w:pPr>
            <w:r>
              <w:rPr>
                <w:rFonts w:hint="eastAsia"/>
                <w:szCs w:val="21"/>
              </w:rPr>
              <w:t>位</w:t>
            </w:r>
          </w:p>
          <w:p>
            <w:pPr>
              <w:spacing w:line="360" w:lineRule="auto"/>
              <w:jc w:val="center"/>
              <w:rPr>
                <w:szCs w:val="21"/>
              </w:rPr>
            </w:pPr>
            <w:r>
              <w:rPr>
                <w:rFonts w:hint="eastAsia"/>
                <w:szCs w:val="21"/>
              </w:rPr>
              <w:t>课</w:t>
            </w:r>
          </w:p>
        </w:tc>
        <w:tc>
          <w:tcPr>
            <w:tcW w:w="1418" w:type="dxa"/>
            <w:shd w:val="clear" w:color="auto" w:fill="auto"/>
            <w:vAlign w:val="center"/>
          </w:tcPr>
          <w:p>
            <w:pPr>
              <w:jc w:val="center"/>
              <w:rPr>
                <w:szCs w:val="21"/>
              </w:rPr>
            </w:pPr>
            <w:r>
              <w:rPr>
                <w:szCs w:val="21"/>
              </w:rPr>
              <w:t>100011002</w:t>
            </w:r>
          </w:p>
        </w:tc>
        <w:tc>
          <w:tcPr>
            <w:tcW w:w="3119" w:type="dxa"/>
            <w:shd w:val="clear" w:color="auto" w:fill="auto"/>
            <w:vAlign w:val="center"/>
          </w:tcPr>
          <w:p>
            <w:pPr>
              <w:rPr>
                <w:szCs w:val="21"/>
              </w:rPr>
            </w:pPr>
            <w:r>
              <w:rPr>
                <w:rFonts w:hint="eastAsia"/>
                <w:szCs w:val="21"/>
              </w:rPr>
              <w:t>中国马克思主义与当代</w:t>
            </w:r>
          </w:p>
        </w:tc>
        <w:tc>
          <w:tcPr>
            <w:tcW w:w="737" w:type="dxa"/>
            <w:shd w:val="clear" w:color="auto" w:fill="auto"/>
            <w:vAlign w:val="center"/>
          </w:tcPr>
          <w:p>
            <w:pPr>
              <w:jc w:val="center"/>
              <w:rPr>
                <w:szCs w:val="21"/>
              </w:rPr>
            </w:pPr>
            <w:r>
              <w:rPr>
                <w:szCs w:val="21"/>
              </w:rPr>
              <w:t>2</w:t>
            </w:r>
          </w:p>
        </w:tc>
        <w:tc>
          <w:tcPr>
            <w:tcW w:w="737" w:type="dxa"/>
            <w:shd w:val="clear" w:color="auto" w:fill="auto"/>
            <w:vAlign w:val="center"/>
          </w:tcPr>
          <w:p>
            <w:pPr>
              <w:jc w:val="center"/>
              <w:rPr>
                <w:szCs w:val="21"/>
              </w:rPr>
            </w:pPr>
            <w:r>
              <w:rPr>
                <w:szCs w:val="21"/>
              </w:rPr>
              <w:t>36</w:t>
            </w:r>
          </w:p>
        </w:tc>
        <w:tc>
          <w:tcPr>
            <w:tcW w:w="2155" w:type="dxa"/>
            <w:shd w:val="clear" w:color="auto" w:fill="auto"/>
            <w:vAlign w:val="center"/>
          </w:tcPr>
          <w:p>
            <w:pPr>
              <w:jc w:val="center"/>
              <w:rPr>
                <w:szCs w:val="21"/>
              </w:rPr>
            </w:pPr>
            <w:r>
              <w:rPr>
                <w:rFonts w:hint="eastAsia"/>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shd w:val="clear" w:color="auto" w:fill="auto"/>
            <w:vAlign w:val="center"/>
          </w:tcPr>
          <w:p>
            <w:pPr>
              <w:spacing w:line="360" w:lineRule="auto"/>
              <w:jc w:val="center"/>
              <w:rPr>
                <w:szCs w:val="21"/>
              </w:rPr>
            </w:pPr>
          </w:p>
        </w:tc>
        <w:tc>
          <w:tcPr>
            <w:tcW w:w="1418" w:type="dxa"/>
            <w:shd w:val="clear" w:color="auto" w:fill="auto"/>
            <w:vAlign w:val="center"/>
          </w:tcPr>
          <w:p>
            <w:pPr>
              <w:jc w:val="center"/>
              <w:rPr>
                <w:szCs w:val="21"/>
              </w:rPr>
            </w:pPr>
            <w:r>
              <w:rPr>
                <w:szCs w:val="21"/>
              </w:rPr>
              <w:t>100011003</w:t>
            </w:r>
          </w:p>
        </w:tc>
        <w:tc>
          <w:tcPr>
            <w:tcW w:w="3119" w:type="dxa"/>
            <w:shd w:val="clear" w:color="auto" w:fill="auto"/>
            <w:vAlign w:val="center"/>
          </w:tcPr>
          <w:p>
            <w:pPr>
              <w:rPr>
                <w:szCs w:val="21"/>
              </w:rPr>
            </w:pPr>
            <w:r>
              <w:rPr>
                <w:rFonts w:hint="eastAsia"/>
                <w:szCs w:val="21"/>
              </w:rPr>
              <w:t>马克思主义经典著作选读</w:t>
            </w:r>
          </w:p>
        </w:tc>
        <w:tc>
          <w:tcPr>
            <w:tcW w:w="737" w:type="dxa"/>
            <w:shd w:val="clear" w:color="auto" w:fill="auto"/>
            <w:vAlign w:val="center"/>
          </w:tcPr>
          <w:p>
            <w:pPr>
              <w:jc w:val="center"/>
              <w:rPr>
                <w:szCs w:val="21"/>
              </w:rPr>
            </w:pPr>
            <w:r>
              <w:rPr>
                <w:szCs w:val="21"/>
              </w:rPr>
              <w:t>1</w:t>
            </w:r>
          </w:p>
        </w:tc>
        <w:tc>
          <w:tcPr>
            <w:tcW w:w="737" w:type="dxa"/>
            <w:shd w:val="clear" w:color="auto" w:fill="auto"/>
            <w:vAlign w:val="center"/>
          </w:tcPr>
          <w:p>
            <w:pPr>
              <w:jc w:val="center"/>
              <w:rPr>
                <w:szCs w:val="21"/>
              </w:rPr>
            </w:pPr>
            <w:r>
              <w:rPr>
                <w:szCs w:val="21"/>
              </w:rPr>
              <w:t>18</w:t>
            </w:r>
          </w:p>
        </w:tc>
        <w:tc>
          <w:tcPr>
            <w:tcW w:w="2155" w:type="dxa"/>
            <w:shd w:val="clear" w:color="auto" w:fill="auto"/>
            <w:vAlign w:val="center"/>
          </w:tcPr>
          <w:p>
            <w:pPr>
              <w:jc w:val="center"/>
              <w:rPr>
                <w:szCs w:val="21"/>
              </w:rPr>
            </w:pPr>
            <w:r>
              <w:rPr>
                <w:rFonts w:hint="eastAsia"/>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shd w:val="clear" w:color="auto" w:fill="auto"/>
            <w:vAlign w:val="center"/>
          </w:tcPr>
          <w:p>
            <w:pPr>
              <w:spacing w:line="360" w:lineRule="auto"/>
              <w:jc w:val="center"/>
              <w:rPr>
                <w:rFonts w:ascii="Calibri" w:hAnsi="Calibri"/>
                <w:szCs w:val="21"/>
              </w:rPr>
            </w:pPr>
          </w:p>
        </w:tc>
        <w:tc>
          <w:tcPr>
            <w:tcW w:w="1418" w:type="dxa"/>
            <w:shd w:val="clear" w:color="auto" w:fill="auto"/>
            <w:vAlign w:val="center"/>
          </w:tcPr>
          <w:p>
            <w:pPr>
              <w:jc w:val="center"/>
              <w:rPr>
                <w:szCs w:val="21"/>
              </w:rPr>
            </w:pPr>
            <w:r>
              <w:rPr>
                <w:szCs w:val="21"/>
              </w:rPr>
              <w:t>112105901</w:t>
            </w:r>
          </w:p>
        </w:tc>
        <w:tc>
          <w:tcPr>
            <w:tcW w:w="3119" w:type="dxa"/>
            <w:shd w:val="clear" w:color="auto" w:fill="auto"/>
            <w:vAlign w:val="center"/>
          </w:tcPr>
          <w:p>
            <w:pPr>
              <w:rPr>
                <w:szCs w:val="21"/>
              </w:rPr>
            </w:pPr>
            <w:r>
              <w:rPr>
                <w:szCs w:val="21"/>
              </w:rPr>
              <w:t>经济学进展</w:t>
            </w:r>
          </w:p>
        </w:tc>
        <w:tc>
          <w:tcPr>
            <w:tcW w:w="737" w:type="dxa"/>
            <w:shd w:val="clear" w:color="auto" w:fill="auto"/>
            <w:vAlign w:val="center"/>
          </w:tcPr>
          <w:p>
            <w:pPr>
              <w:jc w:val="center"/>
              <w:rPr>
                <w:szCs w:val="21"/>
              </w:rPr>
            </w:pPr>
            <w:r>
              <w:rPr>
                <w:szCs w:val="21"/>
              </w:rPr>
              <w:t>2</w:t>
            </w:r>
          </w:p>
        </w:tc>
        <w:tc>
          <w:tcPr>
            <w:tcW w:w="737" w:type="dxa"/>
            <w:shd w:val="clear" w:color="auto" w:fill="auto"/>
            <w:vAlign w:val="center"/>
          </w:tcPr>
          <w:p>
            <w:pPr>
              <w:jc w:val="center"/>
              <w:rPr>
                <w:szCs w:val="21"/>
              </w:rPr>
            </w:pPr>
            <w:r>
              <w:rPr>
                <w:szCs w:val="21"/>
              </w:rPr>
              <w:t>32</w:t>
            </w:r>
          </w:p>
        </w:tc>
        <w:tc>
          <w:tcPr>
            <w:tcW w:w="2155" w:type="dxa"/>
            <w:shd w:val="clear" w:color="auto" w:fill="auto"/>
            <w:vAlign w:val="center"/>
          </w:tcPr>
          <w:p>
            <w:pPr>
              <w:jc w:val="center"/>
              <w:rPr>
                <w:szCs w:val="21"/>
              </w:rPr>
            </w:pPr>
            <w:r>
              <w:rPr>
                <w:szCs w:val="21"/>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shd w:val="clear" w:color="auto" w:fill="auto"/>
            <w:vAlign w:val="center"/>
          </w:tcPr>
          <w:p>
            <w:pPr>
              <w:spacing w:line="360" w:lineRule="auto"/>
              <w:jc w:val="center"/>
              <w:rPr>
                <w:szCs w:val="21"/>
              </w:rPr>
            </w:pPr>
          </w:p>
        </w:tc>
        <w:tc>
          <w:tcPr>
            <w:tcW w:w="1418" w:type="dxa"/>
            <w:shd w:val="clear" w:color="auto" w:fill="auto"/>
            <w:vAlign w:val="center"/>
          </w:tcPr>
          <w:p>
            <w:pPr>
              <w:jc w:val="center"/>
              <w:rPr>
                <w:szCs w:val="21"/>
              </w:rPr>
            </w:pPr>
            <w:r>
              <w:rPr>
                <w:szCs w:val="21"/>
              </w:rPr>
              <w:t>112105902</w:t>
            </w:r>
          </w:p>
        </w:tc>
        <w:tc>
          <w:tcPr>
            <w:tcW w:w="3119" w:type="dxa"/>
            <w:shd w:val="clear" w:color="auto" w:fill="auto"/>
            <w:vAlign w:val="center"/>
          </w:tcPr>
          <w:p>
            <w:pPr>
              <w:rPr>
                <w:szCs w:val="21"/>
              </w:rPr>
            </w:pPr>
            <w:r>
              <w:rPr>
                <w:szCs w:val="21"/>
              </w:rPr>
              <w:t>管理学进展</w:t>
            </w:r>
          </w:p>
        </w:tc>
        <w:tc>
          <w:tcPr>
            <w:tcW w:w="737" w:type="dxa"/>
            <w:shd w:val="clear" w:color="auto" w:fill="auto"/>
            <w:vAlign w:val="center"/>
          </w:tcPr>
          <w:p>
            <w:pPr>
              <w:jc w:val="center"/>
              <w:rPr>
                <w:szCs w:val="21"/>
              </w:rPr>
            </w:pPr>
            <w:r>
              <w:rPr>
                <w:szCs w:val="21"/>
              </w:rPr>
              <w:t>2</w:t>
            </w:r>
          </w:p>
        </w:tc>
        <w:tc>
          <w:tcPr>
            <w:tcW w:w="737" w:type="dxa"/>
            <w:shd w:val="clear" w:color="auto" w:fill="auto"/>
            <w:vAlign w:val="center"/>
          </w:tcPr>
          <w:p>
            <w:pPr>
              <w:jc w:val="center"/>
              <w:rPr>
                <w:szCs w:val="21"/>
              </w:rPr>
            </w:pPr>
            <w:r>
              <w:rPr>
                <w:szCs w:val="21"/>
              </w:rPr>
              <w:t>32</w:t>
            </w:r>
          </w:p>
        </w:tc>
        <w:tc>
          <w:tcPr>
            <w:tcW w:w="2155" w:type="dxa"/>
            <w:shd w:val="clear" w:color="auto" w:fill="auto"/>
            <w:vAlign w:val="center"/>
          </w:tcPr>
          <w:p>
            <w:pPr>
              <w:jc w:val="center"/>
              <w:rPr>
                <w:szCs w:val="21"/>
              </w:rPr>
            </w:pPr>
            <w:r>
              <w:rPr>
                <w:szCs w:val="21"/>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shd w:val="clear" w:color="auto" w:fill="auto"/>
            <w:vAlign w:val="center"/>
          </w:tcPr>
          <w:p>
            <w:pPr>
              <w:spacing w:line="360" w:lineRule="auto"/>
              <w:jc w:val="center"/>
              <w:rPr>
                <w:szCs w:val="21"/>
              </w:rPr>
            </w:pPr>
          </w:p>
        </w:tc>
        <w:tc>
          <w:tcPr>
            <w:tcW w:w="1418" w:type="dxa"/>
            <w:shd w:val="clear" w:color="auto" w:fill="auto"/>
            <w:vAlign w:val="center"/>
          </w:tcPr>
          <w:p>
            <w:pPr>
              <w:jc w:val="center"/>
              <w:rPr>
                <w:szCs w:val="21"/>
              </w:rPr>
            </w:pPr>
            <w:r>
              <w:rPr>
                <w:szCs w:val="21"/>
              </w:rPr>
              <w:t>112105903</w:t>
            </w:r>
          </w:p>
        </w:tc>
        <w:tc>
          <w:tcPr>
            <w:tcW w:w="3119" w:type="dxa"/>
            <w:shd w:val="clear" w:color="auto" w:fill="auto"/>
            <w:vAlign w:val="center"/>
          </w:tcPr>
          <w:p>
            <w:pPr>
              <w:rPr>
                <w:szCs w:val="21"/>
              </w:rPr>
            </w:pPr>
            <w:r>
              <w:rPr>
                <w:szCs w:val="21"/>
              </w:rPr>
              <w:t>经济计量模型</w:t>
            </w:r>
          </w:p>
        </w:tc>
        <w:tc>
          <w:tcPr>
            <w:tcW w:w="737" w:type="dxa"/>
            <w:shd w:val="clear" w:color="auto" w:fill="auto"/>
            <w:vAlign w:val="center"/>
          </w:tcPr>
          <w:p>
            <w:pPr>
              <w:jc w:val="center"/>
              <w:rPr>
                <w:szCs w:val="21"/>
              </w:rPr>
            </w:pPr>
            <w:r>
              <w:rPr>
                <w:szCs w:val="21"/>
              </w:rPr>
              <w:t>2</w:t>
            </w:r>
          </w:p>
        </w:tc>
        <w:tc>
          <w:tcPr>
            <w:tcW w:w="737" w:type="dxa"/>
            <w:shd w:val="clear" w:color="auto" w:fill="auto"/>
            <w:vAlign w:val="center"/>
          </w:tcPr>
          <w:p>
            <w:pPr>
              <w:jc w:val="center"/>
              <w:rPr>
                <w:szCs w:val="21"/>
              </w:rPr>
            </w:pPr>
            <w:r>
              <w:rPr>
                <w:szCs w:val="21"/>
              </w:rPr>
              <w:t>32</w:t>
            </w:r>
          </w:p>
        </w:tc>
        <w:tc>
          <w:tcPr>
            <w:tcW w:w="2155" w:type="dxa"/>
            <w:shd w:val="clear" w:color="auto" w:fill="auto"/>
            <w:vAlign w:val="center"/>
          </w:tcPr>
          <w:p>
            <w:pPr>
              <w:jc w:val="center"/>
              <w:rPr>
                <w:szCs w:val="21"/>
              </w:rPr>
            </w:pPr>
            <w:r>
              <w:rPr>
                <w:szCs w:val="21"/>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restart"/>
            <w:shd w:val="clear" w:color="auto" w:fill="auto"/>
            <w:vAlign w:val="center"/>
          </w:tcPr>
          <w:p>
            <w:pPr>
              <w:spacing w:line="360" w:lineRule="auto"/>
              <w:jc w:val="center"/>
              <w:rPr>
                <w:szCs w:val="21"/>
              </w:rPr>
            </w:pPr>
            <w:r>
              <w:rPr>
                <w:rFonts w:hint="eastAsia"/>
                <w:szCs w:val="21"/>
              </w:rPr>
              <w:t>选</w:t>
            </w:r>
          </w:p>
          <w:p>
            <w:pPr>
              <w:spacing w:line="360" w:lineRule="auto"/>
              <w:jc w:val="center"/>
              <w:rPr>
                <w:szCs w:val="21"/>
              </w:rPr>
            </w:pPr>
            <w:r>
              <w:rPr>
                <w:rFonts w:hint="eastAsia"/>
                <w:szCs w:val="21"/>
              </w:rPr>
              <w:t>修</w:t>
            </w:r>
          </w:p>
          <w:p>
            <w:pPr>
              <w:spacing w:line="360" w:lineRule="auto"/>
              <w:jc w:val="center"/>
              <w:rPr>
                <w:szCs w:val="21"/>
              </w:rPr>
            </w:pPr>
            <w:r>
              <w:rPr>
                <w:rFonts w:hint="eastAsia"/>
                <w:szCs w:val="21"/>
              </w:rPr>
              <w:t>课</w:t>
            </w:r>
          </w:p>
        </w:tc>
        <w:tc>
          <w:tcPr>
            <w:tcW w:w="1418" w:type="dxa"/>
            <w:shd w:val="clear" w:color="auto" w:fill="auto"/>
            <w:vAlign w:val="center"/>
          </w:tcPr>
          <w:p>
            <w:pPr>
              <w:jc w:val="center"/>
              <w:rPr>
                <w:szCs w:val="21"/>
              </w:rPr>
            </w:pPr>
            <w:r>
              <w:rPr>
                <w:szCs w:val="21"/>
              </w:rPr>
              <w:t>112205901</w:t>
            </w:r>
          </w:p>
        </w:tc>
        <w:tc>
          <w:tcPr>
            <w:tcW w:w="3119" w:type="dxa"/>
            <w:shd w:val="clear" w:color="auto" w:fill="auto"/>
            <w:vAlign w:val="center"/>
          </w:tcPr>
          <w:p>
            <w:pPr>
              <w:rPr>
                <w:szCs w:val="21"/>
              </w:rPr>
            </w:pPr>
            <w:r>
              <w:rPr>
                <w:szCs w:val="21"/>
              </w:rPr>
              <w:t>农业经济学专题</w:t>
            </w:r>
          </w:p>
        </w:tc>
        <w:tc>
          <w:tcPr>
            <w:tcW w:w="737" w:type="dxa"/>
            <w:shd w:val="clear" w:color="auto" w:fill="auto"/>
            <w:vAlign w:val="center"/>
          </w:tcPr>
          <w:p>
            <w:pPr>
              <w:jc w:val="center"/>
              <w:rPr>
                <w:szCs w:val="21"/>
              </w:rPr>
            </w:pPr>
            <w:r>
              <w:rPr>
                <w:szCs w:val="21"/>
              </w:rPr>
              <w:t>2</w:t>
            </w:r>
          </w:p>
        </w:tc>
        <w:tc>
          <w:tcPr>
            <w:tcW w:w="737" w:type="dxa"/>
            <w:shd w:val="clear" w:color="auto" w:fill="auto"/>
            <w:vAlign w:val="center"/>
          </w:tcPr>
          <w:p>
            <w:pPr>
              <w:jc w:val="center"/>
              <w:rPr>
                <w:szCs w:val="21"/>
              </w:rPr>
            </w:pPr>
            <w:r>
              <w:rPr>
                <w:szCs w:val="21"/>
              </w:rPr>
              <w:t>32</w:t>
            </w:r>
          </w:p>
        </w:tc>
        <w:tc>
          <w:tcPr>
            <w:tcW w:w="2155" w:type="dxa"/>
            <w:shd w:val="clear" w:color="auto" w:fill="auto"/>
            <w:vAlign w:val="center"/>
          </w:tcPr>
          <w:p>
            <w:pPr>
              <w:jc w:val="center"/>
              <w:rPr>
                <w:szCs w:val="21"/>
              </w:rPr>
            </w:pPr>
            <w:r>
              <w:rPr>
                <w:szCs w:val="21"/>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shd w:val="clear" w:color="auto" w:fill="auto"/>
            <w:vAlign w:val="center"/>
          </w:tcPr>
          <w:p>
            <w:pPr>
              <w:spacing w:line="360" w:lineRule="auto"/>
              <w:jc w:val="center"/>
              <w:rPr>
                <w:rFonts w:ascii="Calibri" w:hAnsi="Calibri"/>
                <w:szCs w:val="21"/>
              </w:rPr>
            </w:pPr>
          </w:p>
        </w:tc>
        <w:tc>
          <w:tcPr>
            <w:tcW w:w="1418" w:type="dxa"/>
            <w:shd w:val="clear" w:color="auto" w:fill="auto"/>
            <w:vAlign w:val="center"/>
          </w:tcPr>
          <w:p>
            <w:pPr>
              <w:jc w:val="center"/>
              <w:rPr>
                <w:szCs w:val="21"/>
              </w:rPr>
            </w:pPr>
            <w:r>
              <w:rPr>
                <w:szCs w:val="21"/>
              </w:rPr>
              <w:t>112205902</w:t>
            </w:r>
          </w:p>
        </w:tc>
        <w:tc>
          <w:tcPr>
            <w:tcW w:w="3119" w:type="dxa"/>
            <w:shd w:val="clear" w:color="auto" w:fill="auto"/>
            <w:vAlign w:val="center"/>
          </w:tcPr>
          <w:p>
            <w:pPr>
              <w:rPr>
                <w:szCs w:val="21"/>
              </w:rPr>
            </w:pPr>
            <w:r>
              <w:rPr>
                <w:szCs w:val="21"/>
              </w:rPr>
              <w:t>区域经济发展专题</w:t>
            </w:r>
          </w:p>
        </w:tc>
        <w:tc>
          <w:tcPr>
            <w:tcW w:w="737" w:type="dxa"/>
            <w:shd w:val="clear" w:color="auto" w:fill="auto"/>
            <w:vAlign w:val="center"/>
          </w:tcPr>
          <w:p>
            <w:pPr>
              <w:jc w:val="center"/>
              <w:rPr>
                <w:szCs w:val="21"/>
              </w:rPr>
            </w:pPr>
            <w:r>
              <w:rPr>
                <w:szCs w:val="21"/>
              </w:rPr>
              <w:t>2</w:t>
            </w:r>
          </w:p>
        </w:tc>
        <w:tc>
          <w:tcPr>
            <w:tcW w:w="737" w:type="dxa"/>
            <w:shd w:val="clear" w:color="auto" w:fill="auto"/>
            <w:vAlign w:val="center"/>
          </w:tcPr>
          <w:p>
            <w:pPr>
              <w:jc w:val="center"/>
              <w:rPr>
                <w:szCs w:val="21"/>
              </w:rPr>
            </w:pPr>
            <w:r>
              <w:rPr>
                <w:szCs w:val="21"/>
              </w:rPr>
              <w:t>32</w:t>
            </w:r>
          </w:p>
        </w:tc>
        <w:tc>
          <w:tcPr>
            <w:tcW w:w="2155" w:type="dxa"/>
            <w:shd w:val="clear" w:color="auto" w:fill="auto"/>
            <w:vAlign w:val="center"/>
          </w:tcPr>
          <w:p>
            <w:pPr>
              <w:jc w:val="center"/>
              <w:rPr>
                <w:szCs w:val="21"/>
              </w:rPr>
            </w:pPr>
            <w:r>
              <w:rPr>
                <w:szCs w:val="21"/>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shd w:val="clear" w:color="auto" w:fill="auto"/>
            <w:vAlign w:val="center"/>
          </w:tcPr>
          <w:p>
            <w:pPr>
              <w:spacing w:line="360" w:lineRule="auto"/>
              <w:jc w:val="center"/>
              <w:rPr>
                <w:szCs w:val="21"/>
              </w:rPr>
            </w:pPr>
          </w:p>
        </w:tc>
        <w:tc>
          <w:tcPr>
            <w:tcW w:w="1418" w:type="dxa"/>
            <w:shd w:val="clear" w:color="auto" w:fill="auto"/>
            <w:vAlign w:val="center"/>
          </w:tcPr>
          <w:p>
            <w:pPr>
              <w:jc w:val="center"/>
              <w:rPr>
                <w:szCs w:val="21"/>
              </w:rPr>
            </w:pPr>
            <w:r>
              <w:rPr>
                <w:szCs w:val="21"/>
              </w:rPr>
              <w:t>112205903</w:t>
            </w:r>
          </w:p>
        </w:tc>
        <w:tc>
          <w:tcPr>
            <w:tcW w:w="3119" w:type="dxa"/>
            <w:shd w:val="clear" w:color="auto" w:fill="auto"/>
            <w:vAlign w:val="center"/>
          </w:tcPr>
          <w:p>
            <w:pPr>
              <w:rPr>
                <w:szCs w:val="21"/>
              </w:rPr>
            </w:pPr>
            <w:r>
              <w:rPr>
                <w:szCs w:val="21"/>
              </w:rPr>
              <w:t>农业技术经济专题</w:t>
            </w:r>
          </w:p>
        </w:tc>
        <w:tc>
          <w:tcPr>
            <w:tcW w:w="737" w:type="dxa"/>
            <w:shd w:val="clear" w:color="auto" w:fill="auto"/>
            <w:vAlign w:val="center"/>
          </w:tcPr>
          <w:p>
            <w:pPr>
              <w:jc w:val="center"/>
              <w:rPr>
                <w:szCs w:val="21"/>
              </w:rPr>
            </w:pPr>
            <w:r>
              <w:rPr>
                <w:szCs w:val="21"/>
              </w:rPr>
              <w:t>2</w:t>
            </w:r>
          </w:p>
        </w:tc>
        <w:tc>
          <w:tcPr>
            <w:tcW w:w="737" w:type="dxa"/>
            <w:shd w:val="clear" w:color="auto" w:fill="auto"/>
            <w:vAlign w:val="center"/>
          </w:tcPr>
          <w:p>
            <w:pPr>
              <w:jc w:val="center"/>
              <w:rPr>
                <w:szCs w:val="21"/>
              </w:rPr>
            </w:pPr>
            <w:r>
              <w:rPr>
                <w:szCs w:val="21"/>
              </w:rPr>
              <w:t>32</w:t>
            </w:r>
          </w:p>
        </w:tc>
        <w:tc>
          <w:tcPr>
            <w:tcW w:w="2155" w:type="dxa"/>
            <w:shd w:val="clear" w:color="auto" w:fill="auto"/>
            <w:vAlign w:val="center"/>
          </w:tcPr>
          <w:p>
            <w:pPr>
              <w:jc w:val="center"/>
              <w:rPr>
                <w:szCs w:val="21"/>
              </w:rPr>
            </w:pPr>
            <w:r>
              <w:rPr>
                <w:szCs w:val="21"/>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shd w:val="clear" w:color="auto" w:fill="auto"/>
            <w:vAlign w:val="center"/>
          </w:tcPr>
          <w:p>
            <w:pPr>
              <w:spacing w:line="360" w:lineRule="auto"/>
              <w:jc w:val="center"/>
              <w:rPr>
                <w:szCs w:val="21"/>
              </w:rPr>
            </w:pPr>
          </w:p>
        </w:tc>
        <w:tc>
          <w:tcPr>
            <w:tcW w:w="1418" w:type="dxa"/>
            <w:shd w:val="clear" w:color="auto" w:fill="auto"/>
            <w:vAlign w:val="center"/>
          </w:tcPr>
          <w:p>
            <w:pPr>
              <w:jc w:val="center"/>
              <w:rPr>
                <w:szCs w:val="21"/>
              </w:rPr>
            </w:pPr>
            <w:r>
              <w:rPr>
                <w:szCs w:val="21"/>
              </w:rPr>
              <w:t>112205904</w:t>
            </w:r>
          </w:p>
        </w:tc>
        <w:tc>
          <w:tcPr>
            <w:tcW w:w="3119" w:type="dxa"/>
            <w:shd w:val="clear" w:color="auto" w:fill="auto"/>
            <w:vAlign w:val="center"/>
          </w:tcPr>
          <w:p>
            <w:pPr>
              <w:rPr>
                <w:szCs w:val="21"/>
              </w:rPr>
            </w:pPr>
            <w:r>
              <w:rPr>
                <w:szCs w:val="21"/>
              </w:rPr>
              <w:t>博士生专业讨论</w:t>
            </w:r>
          </w:p>
        </w:tc>
        <w:tc>
          <w:tcPr>
            <w:tcW w:w="737" w:type="dxa"/>
            <w:shd w:val="clear" w:color="auto" w:fill="auto"/>
            <w:vAlign w:val="center"/>
          </w:tcPr>
          <w:p>
            <w:pPr>
              <w:jc w:val="center"/>
              <w:rPr>
                <w:szCs w:val="21"/>
              </w:rPr>
            </w:pPr>
            <w:r>
              <w:rPr>
                <w:szCs w:val="21"/>
              </w:rPr>
              <w:t>1</w:t>
            </w:r>
          </w:p>
        </w:tc>
        <w:tc>
          <w:tcPr>
            <w:tcW w:w="737" w:type="dxa"/>
            <w:shd w:val="clear" w:color="auto" w:fill="auto"/>
            <w:vAlign w:val="center"/>
          </w:tcPr>
          <w:p>
            <w:pPr>
              <w:jc w:val="center"/>
              <w:rPr>
                <w:szCs w:val="21"/>
              </w:rPr>
            </w:pPr>
            <w:r>
              <w:rPr>
                <w:szCs w:val="21"/>
              </w:rPr>
              <w:t>16</w:t>
            </w:r>
          </w:p>
        </w:tc>
        <w:tc>
          <w:tcPr>
            <w:tcW w:w="2155" w:type="dxa"/>
            <w:shd w:val="clear" w:color="auto" w:fill="auto"/>
            <w:vAlign w:val="center"/>
          </w:tcPr>
          <w:p>
            <w:pPr>
              <w:jc w:val="center"/>
              <w:rPr>
                <w:szCs w:val="21"/>
              </w:rPr>
            </w:pPr>
            <w:r>
              <w:rPr>
                <w:szCs w:val="21"/>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shd w:val="clear" w:color="auto" w:fill="auto"/>
            <w:vAlign w:val="center"/>
          </w:tcPr>
          <w:p>
            <w:pPr>
              <w:spacing w:line="360" w:lineRule="auto"/>
              <w:jc w:val="center"/>
              <w:rPr>
                <w:szCs w:val="21"/>
              </w:rPr>
            </w:pPr>
            <w:r>
              <w:rPr>
                <w:rFonts w:hint="eastAsia"/>
                <w:szCs w:val="21"/>
              </w:rPr>
              <w:t>其它</w:t>
            </w:r>
          </w:p>
          <w:p>
            <w:pPr>
              <w:spacing w:line="360" w:lineRule="auto"/>
              <w:jc w:val="center"/>
              <w:rPr>
                <w:szCs w:val="21"/>
              </w:rPr>
            </w:pPr>
            <w:r>
              <w:rPr>
                <w:rFonts w:hint="eastAsia"/>
                <w:szCs w:val="21"/>
              </w:rPr>
              <w:t>要求</w:t>
            </w:r>
          </w:p>
        </w:tc>
        <w:tc>
          <w:tcPr>
            <w:tcW w:w="2155" w:type="dxa"/>
            <w:gridSpan w:val="5"/>
            <w:shd w:val="clear" w:color="auto" w:fill="auto"/>
            <w:vAlign w:val="center"/>
          </w:tcPr>
          <w:p>
            <w:pPr>
              <w:spacing w:line="360" w:lineRule="auto"/>
              <w:jc w:val="left"/>
              <w:rPr>
                <w:szCs w:val="21"/>
              </w:rPr>
            </w:pPr>
            <w:r>
              <w:rPr>
                <w:rFonts w:hint="eastAsia"/>
                <w:szCs w:val="21"/>
              </w:rPr>
              <w:t>1、博士研究生公开发表论文的要求：</w:t>
            </w:r>
          </w:p>
          <w:p>
            <w:pPr>
              <w:spacing w:line="360" w:lineRule="auto"/>
              <w:ind w:firstLine="420" w:firstLineChars="200"/>
              <w:jc w:val="left"/>
              <w:rPr>
                <w:szCs w:val="21"/>
              </w:rPr>
            </w:pPr>
            <w:r>
              <w:rPr>
                <w:rFonts w:hint="eastAsia"/>
                <w:szCs w:val="21"/>
              </w:rPr>
              <w:t>博士研究生在申请博士学位前，</w:t>
            </w:r>
            <w:bookmarkStart w:id="0" w:name="_GoBack"/>
            <w:bookmarkEnd w:id="0"/>
            <w:r>
              <w:rPr>
                <w:rFonts w:hint="eastAsia"/>
                <w:szCs w:val="21"/>
              </w:rPr>
              <w:t>须在《中国科技期刊引证报告》和《中文核心期刊要目总览》（北京大学图书馆）统计源期刊（文章刊出当年目录为准）上至少发表2篇与博士学位论文研究内容相关的学术论文（第一作者，第一署名单位为河南农业大学），其中1篇在本学科国家一级学报发表；或在</w:t>
            </w:r>
            <w:r>
              <w:rPr>
                <w:szCs w:val="21"/>
              </w:rPr>
              <w:t>SCI、SSCI</w:t>
            </w:r>
            <w:r>
              <w:rPr>
                <w:rFonts w:hint="eastAsia"/>
                <w:szCs w:val="21"/>
              </w:rPr>
              <w:t>源期刊上发表或收录论文1篇及其以上。</w:t>
            </w:r>
          </w:p>
          <w:p>
            <w:pPr>
              <w:spacing w:line="360" w:lineRule="auto"/>
              <w:jc w:val="left"/>
              <w:rPr>
                <w:szCs w:val="21"/>
              </w:rPr>
            </w:pPr>
            <w:r>
              <w:rPr>
                <w:rFonts w:hint="eastAsia"/>
                <w:szCs w:val="21"/>
              </w:rPr>
              <w:t>2、博士研究生社会调查工作的要求：</w:t>
            </w:r>
          </w:p>
          <w:p>
            <w:pPr>
              <w:spacing w:line="360" w:lineRule="auto"/>
              <w:ind w:firstLine="420" w:firstLineChars="200"/>
              <w:jc w:val="left"/>
              <w:rPr>
                <w:szCs w:val="21"/>
              </w:rPr>
            </w:pPr>
            <w:r>
              <w:rPr>
                <w:rFonts w:hint="eastAsia"/>
                <w:szCs w:val="21"/>
              </w:rPr>
              <w:t>博士研究生必须开展社会调查来获取科学研究的第一手数据。研究生必须列出调查题目、调查内容和组织方式，原始调查数据与表格在学科组备案。社会调查工作通过审核，记2学分（具体考核办法另文规定）。</w:t>
            </w:r>
          </w:p>
        </w:tc>
      </w:tr>
    </w:tbl>
    <w:p>
      <w:pPr>
        <w:spacing w:line="360" w:lineRule="auto"/>
        <w:ind w:firstLine="420" w:firstLineChars="200"/>
      </w:pPr>
    </w:p>
    <w:p>
      <w:pPr>
        <w:spacing w:line="360" w:lineRule="auto"/>
        <w:ind w:firstLine="420" w:firstLineChars="200"/>
        <w:jc w:val="left"/>
      </w:pPr>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DF"/>
    <w:rsid w:val="000A179B"/>
    <w:rsid w:val="007E2CDF"/>
    <w:rsid w:val="1CC94E9F"/>
    <w:rsid w:val="317939CE"/>
    <w:rsid w:val="54801A26"/>
    <w:rsid w:val="61752DFE"/>
    <w:rsid w:val="72DC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248</Words>
  <Characters>1415</Characters>
  <Lines>11</Lines>
  <Paragraphs>3</Paragraphs>
  <TotalTime>1</TotalTime>
  <ScaleCrop>false</ScaleCrop>
  <LinksUpToDate>false</LinksUpToDate>
  <CharactersWithSpaces>1660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2020-10-16T02:38:00Z</dcterms:created>
  <dc:creator>Windows 用户</dc:creator>
  <cp:lastModifiedBy>赵翠萍</cp:lastModifiedBy>
  <dcterms:modified xsi:type="dcterms:W3CDTF">2021-06-28T21:45:52Z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CB6A94BF104E4999ABA8C266C2163481</vt:lpwstr>
  </property>
</Properties>
</file>